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227" w:rsidRPr="00A230C9" w:rsidRDefault="00DD6227" w:rsidP="00A230C9">
      <w:pPr>
        <w:pStyle w:val="Default"/>
        <w:jc w:val="both"/>
        <w:rPr>
          <w:rFonts w:asciiTheme="minorHAnsi" w:hAnsiTheme="minorHAnsi" w:cstheme="minorHAnsi"/>
          <w:sz w:val="22"/>
          <w:szCs w:val="22"/>
        </w:rPr>
      </w:pPr>
    </w:p>
    <w:p w:rsidR="00ED3B60" w:rsidRPr="00A230C9" w:rsidRDefault="00ED3B60" w:rsidP="00A230C9">
      <w:pPr>
        <w:pStyle w:val="Default"/>
        <w:jc w:val="both"/>
        <w:rPr>
          <w:rFonts w:asciiTheme="minorHAnsi" w:hAnsiTheme="minorHAnsi" w:cstheme="minorHAnsi"/>
          <w:sz w:val="22"/>
          <w:szCs w:val="22"/>
        </w:rPr>
      </w:pPr>
    </w:p>
    <w:p w:rsidR="00ED3B60" w:rsidRPr="00A230C9" w:rsidRDefault="00ED3B60" w:rsidP="00A230C9">
      <w:pPr>
        <w:pStyle w:val="Default"/>
        <w:jc w:val="both"/>
        <w:rPr>
          <w:rFonts w:asciiTheme="minorHAnsi" w:hAnsiTheme="minorHAnsi" w:cstheme="minorHAnsi"/>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7586"/>
      </w:tblGrid>
      <w:tr w:rsidR="002F63CC" w:rsidRPr="00A230C9" w:rsidTr="004B1F38">
        <w:trPr>
          <w:jc w:val="center"/>
        </w:trPr>
        <w:tc>
          <w:tcPr>
            <w:tcW w:w="1526" w:type="dxa"/>
          </w:tcPr>
          <w:p w:rsidR="002F63CC" w:rsidRPr="00A230C9" w:rsidRDefault="002F63CC" w:rsidP="00A230C9">
            <w:pPr>
              <w:spacing w:line="360" w:lineRule="auto"/>
              <w:jc w:val="both"/>
              <w:rPr>
                <w:rFonts w:cstheme="minorHAnsi"/>
                <w:color w:val="215868" w:themeColor="accent5" w:themeShade="80"/>
              </w:rPr>
            </w:pPr>
          </w:p>
          <w:p w:rsidR="002F63CC" w:rsidRPr="00A230C9" w:rsidRDefault="002F63CC" w:rsidP="00A230C9">
            <w:pPr>
              <w:spacing w:line="360" w:lineRule="auto"/>
              <w:jc w:val="both"/>
              <w:rPr>
                <w:rFonts w:cstheme="minorHAnsi"/>
                <w:color w:val="215868" w:themeColor="accent5" w:themeShade="80"/>
              </w:rPr>
            </w:pPr>
            <w:r w:rsidRPr="00A230C9">
              <w:rPr>
                <w:rFonts w:cstheme="minorHAnsi"/>
                <w:b/>
                <w:bCs/>
                <w:noProof/>
                <w:color w:val="215868" w:themeColor="accent5" w:themeShade="80"/>
                <w:lang w:eastAsia="en-IN"/>
              </w:rPr>
              <w:drawing>
                <wp:inline distT="0" distB="0" distL="0" distR="0" wp14:anchorId="15E124D0" wp14:editId="794E082A">
                  <wp:extent cx="908797" cy="88283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797" cy="882831"/>
                          </a:xfrm>
                          <a:prstGeom prst="rect">
                            <a:avLst/>
                          </a:prstGeom>
                          <a:noFill/>
                          <a:ln>
                            <a:noFill/>
                          </a:ln>
                        </pic:spPr>
                      </pic:pic>
                    </a:graphicData>
                  </a:graphic>
                </wp:inline>
              </w:drawing>
            </w:r>
          </w:p>
          <w:p w:rsidR="002F63CC" w:rsidRPr="00A230C9" w:rsidRDefault="002F63CC" w:rsidP="00A230C9">
            <w:pPr>
              <w:spacing w:line="360" w:lineRule="auto"/>
              <w:jc w:val="both"/>
              <w:rPr>
                <w:rFonts w:cstheme="minorHAnsi"/>
                <w:color w:val="215868" w:themeColor="accent5" w:themeShade="80"/>
              </w:rPr>
            </w:pPr>
          </w:p>
          <w:p w:rsidR="002F63CC" w:rsidRPr="00A230C9" w:rsidRDefault="002F63CC" w:rsidP="00A230C9">
            <w:pPr>
              <w:spacing w:line="360" w:lineRule="auto"/>
              <w:jc w:val="both"/>
              <w:rPr>
                <w:rFonts w:cstheme="minorHAnsi"/>
                <w:color w:val="215868" w:themeColor="accent5" w:themeShade="80"/>
              </w:rPr>
            </w:pPr>
          </w:p>
        </w:tc>
        <w:tc>
          <w:tcPr>
            <w:tcW w:w="7716" w:type="dxa"/>
          </w:tcPr>
          <w:p w:rsidR="002F63CC" w:rsidRPr="00A230C9" w:rsidRDefault="002F63CC" w:rsidP="00A230C9">
            <w:pPr>
              <w:pStyle w:val="NormalWeb"/>
              <w:spacing w:before="0" w:beforeAutospacing="0" w:after="0" w:line="360" w:lineRule="auto"/>
              <w:contextualSpacing/>
              <w:jc w:val="both"/>
              <w:rPr>
                <w:rFonts w:asciiTheme="minorHAnsi" w:hAnsiTheme="minorHAnsi" w:cstheme="minorHAnsi"/>
                <w:b/>
                <w:bCs/>
                <w:color w:val="215868" w:themeColor="accent5" w:themeShade="80"/>
                <w:sz w:val="22"/>
                <w:szCs w:val="22"/>
              </w:rPr>
            </w:pPr>
          </w:p>
          <w:p w:rsidR="002F63CC" w:rsidRPr="00A230C9" w:rsidRDefault="002F63CC" w:rsidP="00A230C9">
            <w:pPr>
              <w:pStyle w:val="NormalWeb"/>
              <w:spacing w:before="0" w:beforeAutospacing="0" w:after="0" w:line="360" w:lineRule="auto"/>
              <w:contextualSpacing/>
              <w:jc w:val="both"/>
              <w:rPr>
                <w:rFonts w:asciiTheme="minorHAnsi" w:hAnsiTheme="minorHAnsi" w:cstheme="minorHAnsi"/>
                <w:b/>
                <w:bCs/>
                <w:color w:val="215868" w:themeColor="accent5" w:themeShade="80"/>
                <w:sz w:val="22"/>
                <w:szCs w:val="22"/>
              </w:rPr>
            </w:pPr>
            <w:r w:rsidRPr="00A230C9">
              <w:rPr>
                <w:rFonts w:asciiTheme="minorHAnsi" w:hAnsiTheme="minorHAnsi" w:cstheme="minorHAnsi"/>
                <w:b/>
                <w:bCs/>
                <w:color w:val="215868" w:themeColor="accent5" w:themeShade="80"/>
                <w:sz w:val="22"/>
                <w:szCs w:val="22"/>
              </w:rPr>
              <w:t>KANISHK STEEL INDUSTRIES LIMITED</w:t>
            </w:r>
          </w:p>
          <w:p w:rsidR="002F63CC" w:rsidRPr="00A230C9" w:rsidRDefault="002F63CC" w:rsidP="00A230C9">
            <w:pPr>
              <w:pStyle w:val="NormalWeb"/>
              <w:spacing w:before="0" w:beforeAutospacing="0" w:after="0" w:line="360" w:lineRule="auto"/>
              <w:contextualSpacing/>
              <w:jc w:val="both"/>
              <w:rPr>
                <w:rFonts w:asciiTheme="minorHAnsi" w:eastAsiaTheme="minorHAnsi" w:hAnsiTheme="minorHAnsi" w:cstheme="minorHAnsi"/>
                <w:color w:val="215868" w:themeColor="accent5" w:themeShade="80"/>
                <w:sz w:val="22"/>
                <w:szCs w:val="22"/>
                <w:lang w:val="en-IN"/>
              </w:rPr>
            </w:pPr>
            <w:r w:rsidRPr="00A230C9">
              <w:rPr>
                <w:rFonts w:asciiTheme="minorHAnsi" w:eastAsiaTheme="minorHAnsi" w:hAnsiTheme="minorHAnsi" w:cstheme="minorHAnsi"/>
                <w:color w:val="215868" w:themeColor="accent5" w:themeShade="80"/>
                <w:sz w:val="22"/>
                <w:szCs w:val="22"/>
                <w:lang w:val="en-IN"/>
              </w:rPr>
              <w:t>(CIN: L27109TN1995PLC067863)</w:t>
            </w:r>
          </w:p>
          <w:p w:rsidR="002F63CC" w:rsidRPr="00A230C9" w:rsidRDefault="002F63CC" w:rsidP="00A230C9">
            <w:pPr>
              <w:spacing w:line="360" w:lineRule="auto"/>
              <w:jc w:val="both"/>
              <w:rPr>
                <w:rFonts w:cstheme="minorHAnsi"/>
                <w:color w:val="215868" w:themeColor="accent5" w:themeShade="80"/>
              </w:rPr>
            </w:pPr>
            <w:r w:rsidRPr="00A230C9">
              <w:rPr>
                <w:rFonts w:cstheme="minorHAnsi"/>
                <w:color w:val="215868" w:themeColor="accent5" w:themeShade="80"/>
              </w:rPr>
              <w:t xml:space="preserve">Regd. Office: B27 (M) SIPCOT Industrial Complex, </w:t>
            </w:r>
            <w:proofErr w:type="spellStart"/>
            <w:r w:rsidRPr="00A230C9">
              <w:rPr>
                <w:rFonts w:cstheme="minorHAnsi"/>
                <w:color w:val="215868" w:themeColor="accent5" w:themeShade="80"/>
              </w:rPr>
              <w:t>Gummidipoondi</w:t>
            </w:r>
            <w:proofErr w:type="spellEnd"/>
            <w:r w:rsidRPr="00A230C9">
              <w:rPr>
                <w:rFonts w:cstheme="minorHAnsi"/>
                <w:color w:val="215868" w:themeColor="accent5" w:themeShade="80"/>
              </w:rPr>
              <w:t xml:space="preserve">, </w:t>
            </w:r>
          </w:p>
          <w:p w:rsidR="002F63CC" w:rsidRPr="00A230C9" w:rsidRDefault="002F63CC" w:rsidP="00A230C9">
            <w:pPr>
              <w:spacing w:line="360" w:lineRule="auto"/>
              <w:jc w:val="both"/>
              <w:rPr>
                <w:rFonts w:cstheme="minorHAnsi"/>
                <w:color w:val="215868" w:themeColor="accent5" w:themeShade="80"/>
              </w:rPr>
            </w:pPr>
            <w:proofErr w:type="spellStart"/>
            <w:r w:rsidRPr="00A230C9">
              <w:rPr>
                <w:rFonts w:cstheme="minorHAnsi"/>
                <w:color w:val="215868" w:themeColor="accent5" w:themeShade="80"/>
              </w:rPr>
              <w:t>Thiruvallur</w:t>
            </w:r>
            <w:proofErr w:type="spellEnd"/>
            <w:r w:rsidRPr="00A230C9">
              <w:rPr>
                <w:rFonts w:cstheme="minorHAnsi"/>
                <w:color w:val="215868" w:themeColor="accent5" w:themeShade="80"/>
              </w:rPr>
              <w:t xml:space="preserve"> District, Tamilnadu-601201.</w:t>
            </w:r>
          </w:p>
        </w:tc>
      </w:tr>
    </w:tbl>
    <w:p w:rsidR="002F63CC" w:rsidRPr="00A230C9" w:rsidRDefault="002F63CC" w:rsidP="00A230C9">
      <w:pPr>
        <w:spacing w:line="360" w:lineRule="auto"/>
        <w:jc w:val="both"/>
        <w:rPr>
          <w:rFonts w:cstheme="minorHAnsi"/>
          <w:color w:val="215868" w:themeColor="accent5" w:themeShade="80"/>
        </w:rPr>
      </w:pPr>
    </w:p>
    <w:p w:rsidR="002F63CC" w:rsidRPr="00A230C9" w:rsidRDefault="002F63CC" w:rsidP="00A230C9">
      <w:pPr>
        <w:spacing w:line="360" w:lineRule="auto"/>
        <w:jc w:val="both"/>
        <w:rPr>
          <w:rFonts w:cstheme="minorHAnsi"/>
          <w:color w:val="215868" w:themeColor="accent5" w:themeShade="80"/>
        </w:rPr>
      </w:pPr>
    </w:p>
    <w:p w:rsidR="002F63CC" w:rsidRPr="00A230C9" w:rsidRDefault="002F63CC" w:rsidP="00A230C9">
      <w:pPr>
        <w:spacing w:line="360" w:lineRule="auto"/>
        <w:jc w:val="both"/>
        <w:rPr>
          <w:rFonts w:cstheme="minorHAnsi"/>
          <w:color w:val="215868" w:themeColor="accent5" w:themeShade="80"/>
        </w:rPr>
      </w:pPr>
    </w:p>
    <w:p w:rsidR="002F63CC" w:rsidRPr="00A230C9" w:rsidRDefault="002F63CC" w:rsidP="00A230C9">
      <w:pPr>
        <w:spacing w:line="360" w:lineRule="auto"/>
        <w:jc w:val="both"/>
        <w:rPr>
          <w:rFonts w:cstheme="minorHAnsi"/>
          <w:color w:val="215868" w:themeColor="accent5" w:themeShade="80"/>
        </w:rPr>
      </w:pPr>
    </w:p>
    <w:p w:rsidR="002F63CC" w:rsidRPr="00A230C9" w:rsidRDefault="002F63CC" w:rsidP="00A230C9">
      <w:pPr>
        <w:spacing w:line="360" w:lineRule="auto"/>
        <w:jc w:val="both"/>
        <w:rPr>
          <w:rFonts w:cstheme="minorHAnsi"/>
          <w:color w:val="215868" w:themeColor="accent5" w:themeShade="80"/>
        </w:rPr>
      </w:pPr>
    </w:p>
    <w:p w:rsidR="002F63CC" w:rsidRPr="00A230C9" w:rsidRDefault="002C3AF5" w:rsidP="00926670">
      <w:pPr>
        <w:spacing w:line="360" w:lineRule="auto"/>
        <w:jc w:val="center"/>
        <w:rPr>
          <w:rFonts w:cstheme="minorHAnsi"/>
          <w:b/>
          <w:color w:val="215868" w:themeColor="accent5" w:themeShade="80"/>
        </w:rPr>
      </w:pPr>
      <w:r>
        <w:rPr>
          <w:rFonts w:cstheme="minorHAnsi"/>
          <w:b/>
          <w:color w:val="215868" w:themeColor="accent5" w:themeShade="80"/>
        </w:rPr>
        <w:t>Remuneration Policy</w:t>
      </w:r>
    </w:p>
    <w:p w:rsidR="002F63CC" w:rsidRPr="00A230C9" w:rsidRDefault="002F63CC" w:rsidP="00A230C9">
      <w:pPr>
        <w:spacing w:line="360" w:lineRule="auto"/>
        <w:jc w:val="both"/>
        <w:rPr>
          <w:rFonts w:cstheme="minorHAnsi"/>
          <w:b/>
          <w:color w:val="215868" w:themeColor="accent5" w:themeShade="80"/>
        </w:rPr>
      </w:pPr>
    </w:p>
    <w:p w:rsidR="002F63CC" w:rsidRPr="00A230C9" w:rsidRDefault="002F63CC" w:rsidP="00A230C9">
      <w:pPr>
        <w:spacing w:line="360" w:lineRule="auto"/>
        <w:jc w:val="both"/>
        <w:rPr>
          <w:rFonts w:cstheme="minorHAnsi"/>
          <w:b/>
          <w:color w:val="215868" w:themeColor="accent5" w:themeShade="80"/>
        </w:rPr>
      </w:pPr>
    </w:p>
    <w:p w:rsidR="002F63CC" w:rsidRPr="00A230C9" w:rsidRDefault="002F63CC" w:rsidP="00A230C9">
      <w:pPr>
        <w:spacing w:line="360" w:lineRule="auto"/>
        <w:jc w:val="both"/>
        <w:rPr>
          <w:rFonts w:cstheme="minorHAnsi"/>
          <w:b/>
          <w:color w:val="215868" w:themeColor="accent5" w:themeShade="80"/>
        </w:rPr>
      </w:pPr>
    </w:p>
    <w:p w:rsidR="002F63CC" w:rsidRPr="00A230C9" w:rsidRDefault="002F63CC" w:rsidP="00A230C9">
      <w:pPr>
        <w:spacing w:line="360" w:lineRule="auto"/>
        <w:jc w:val="both"/>
        <w:rPr>
          <w:rFonts w:cstheme="minorHAnsi"/>
          <w:b/>
          <w:color w:val="215868" w:themeColor="accent5" w:themeShade="80"/>
        </w:rPr>
      </w:pPr>
    </w:p>
    <w:p w:rsidR="002F63CC" w:rsidRPr="00A230C9" w:rsidRDefault="002F63CC" w:rsidP="00A230C9">
      <w:pPr>
        <w:spacing w:line="360" w:lineRule="auto"/>
        <w:jc w:val="both"/>
        <w:rPr>
          <w:rFonts w:cstheme="minorHAnsi"/>
          <w:b/>
          <w:color w:val="215868" w:themeColor="accent5" w:themeShade="80"/>
        </w:rPr>
      </w:pPr>
    </w:p>
    <w:p w:rsidR="002F63CC" w:rsidRPr="00A230C9" w:rsidRDefault="002F63CC" w:rsidP="00A230C9">
      <w:pPr>
        <w:spacing w:line="360" w:lineRule="auto"/>
        <w:jc w:val="both"/>
        <w:rPr>
          <w:rFonts w:cstheme="minorHAnsi"/>
          <w:b/>
          <w:color w:val="215868" w:themeColor="accent5" w:themeShade="80"/>
        </w:rPr>
      </w:pPr>
    </w:p>
    <w:p w:rsidR="002F63CC" w:rsidRPr="00A230C9" w:rsidRDefault="002F63CC" w:rsidP="00A230C9">
      <w:pPr>
        <w:spacing w:line="360" w:lineRule="auto"/>
        <w:jc w:val="both"/>
        <w:rPr>
          <w:rFonts w:cstheme="minorHAnsi"/>
          <w:b/>
          <w:color w:val="215868" w:themeColor="accent5" w:themeShade="80"/>
        </w:rPr>
      </w:pPr>
    </w:p>
    <w:p w:rsidR="002F63CC" w:rsidRPr="00A230C9" w:rsidRDefault="002F63CC" w:rsidP="00A230C9">
      <w:pPr>
        <w:spacing w:line="360" w:lineRule="auto"/>
        <w:jc w:val="both"/>
        <w:rPr>
          <w:rFonts w:cstheme="minorHAnsi"/>
          <w:b/>
          <w:color w:val="215868" w:themeColor="accent5" w:themeShade="80"/>
        </w:rPr>
      </w:pPr>
    </w:p>
    <w:p w:rsidR="002F63CC" w:rsidRPr="00A230C9" w:rsidRDefault="002F63CC" w:rsidP="00A230C9">
      <w:pPr>
        <w:spacing w:line="360" w:lineRule="auto"/>
        <w:jc w:val="both"/>
        <w:rPr>
          <w:rFonts w:cstheme="minorHAnsi"/>
          <w:b/>
          <w:color w:val="215868" w:themeColor="accent5" w:themeShade="80"/>
        </w:rPr>
      </w:pPr>
    </w:p>
    <w:p w:rsidR="002F63CC" w:rsidRPr="00A230C9" w:rsidRDefault="002F63CC" w:rsidP="00A230C9">
      <w:pPr>
        <w:spacing w:line="360" w:lineRule="auto"/>
        <w:jc w:val="both"/>
        <w:rPr>
          <w:rFonts w:cstheme="minorHAnsi"/>
          <w:b/>
          <w:color w:val="215868" w:themeColor="accent5" w:themeShade="80"/>
        </w:rPr>
      </w:pPr>
    </w:p>
    <w:p w:rsidR="002F63CC" w:rsidRPr="00A230C9" w:rsidRDefault="002F63CC" w:rsidP="00A230C9">
      <w:pPr>
        <w:spacing w:line="360" w:lineRule="auto"/>
        <w:jc w:val="both"/>
        <w:rPr>
          <w:rFonts w:cstheme="minorHAnsi"/>
          <w:b/>
          <w:color w:val="215868" w:themeColor="accent5" w:themeShade="80"/>
        </w:rPr>
      </w:pPr>
    </w:p>
    <w:p w:rsidR="0017527A" w:rsidRPr="00A230C9" w:rsidRDefault="0017527A" w:rsidP="00E1292D">
      <w:pPr>
        <w:spacing w:after="0" w:line="360" w:lineRule="auto"/>
        <w:contextualSpacing/>
        <w:jc w:val="center"/>
        <w:rPr>
          <w:rFonts w:cstheme="minorHAnsi"/>
          <w:b/>
          <w:color w:val="215868" w:themeColor="accent5" w:themeShade="80"/>
        </w:rPr>
      </w:pPr>
      <w:r w:rsidRPr="00A230C9">
        <w:rPr>
          <w:rFonts w:cstheme="minorHAnsi"/>
          <w:b/>
          <w:color w:val="215868" w:themeColor="accent5" w:themeShade="80"/>
        </w:rPr>
        <w:lastRenderedPageBreak/>
        <w:t>KANISHK STEEL INDUSTRIES LIMITED</w:t>
      </w:r>
    </w:p>
    <w:p w:rsidR="0017527A" w:rsidRPr="00A230C9" w:rsidRDefault="0017527A" w:rsidP="00E1292D">
      <w:pPr>
        <w:spacing w:after="0" w:line="360" w:lineRule="auto"/>
        <w:contextualSpacing/>
        <w:jc w:val="center"/>
        <w:rPr>
          <w:rFonts w:cstheme="minorHAnsi"/>
          <w:b/>
          <w:color w:val="215868" w:themeColor="accent5" w:themeShade="80"/>
        </w:rPr>
      </w:pPr>
    </w:p>
    <w:p w:rsidR="0017527A" w:rsidRPr="00A230C9" w:rsidRDefault="00CA569B" w:rsidP="00E1292D">
      <w:pPr>
        <w:spacing w:after="0" w:line="360" w:lineRule="auto"/>
        <w:contextualSpacing/>
        <w:jc w:val="center"/>
        <w:rPr>
          <w:rFonts w:cstheme="minorHAnsi"/>
          <w:b/>
          <w:color w:val="215868" w:themeColor="accent5" w:themeShade="80"/>
        </w:rPr>
      </w:pPr>
      <w:r>
        <w:rPr>
          <w:rFonts w:cstheme="minorHAnsi"/>
          <w:b/>
          <w:color w:val="215868" w:themeColor="accent5" w:themeShade="80"/>
        </w:rPr>
        <w:t>REMUNERATION POLICY</w:t>
      </w:r>
    </w:p>
    <w:p w:rsidR="006E6318" w:rsidRDefault="006E6318" w:rsidP="00A230C9">
      <w:pPr>
        <w:pStyle w:val="Default"/>
        <w:jc w:val="both"/>
        <w:rPr>
          <w:rFonts w:asciiTheme="minorHAnsi" w:hAnsiTheme="minorHAnsi" w:cstheme="minorHAnsi"/>
          <w:sz w:val="22"/>
          <w:szCs w:val="22"/>
        </w:rPr>
      </w:pPr>
    </w:p>
    <w:p w:rsidR="00043EEF" w:rsidRPr="00043EEF" w:rsidRDefault="00043EEF" w:rsidP="00043EEF">
      <w:pPr>
        <w:autoSpaceDE w:val="0"/>
        <w:autoSpaceDN w:val="0"/>
        <w:adjustRightInd w:val="0"/>
        <w:spacing w:after="0" w:line="240" w:lineRule="auto"/>
        <w:rPr>
          <w:rFonts w:ascii="Bookman Old Style" w:hAnsi="Bookman Old Style" w:cs="Bookman Old Style"/>
          <w:color w:val="000000"/>
          <w:sz w:val="24"/>
          <w:szCs w:val="24"/>
        </w:rPr>
      </w:pPr>
    </w:p>
    <w:p w:rsidR="00043EEF" w:rsidRPr="00043EEF" w:rsidRDefault="00B216C1" w:rsidP="00043EEF">
      <w:pPr>
        <w:autoSpaceDE w:val="0"/>
        <w:autoSpaceDN w:val="0"/>
        <w:adjustRightInd w:val="0"/>
        <w:spacing w:after="0" w:line="240" w:lineRule="auto"/>
        <w:rPr>
          <w:rFonts w:ascii="Bookman Old Style" w:hAnsi="Bookman Old Style" w:cs="Bookman Old Style"/>
          <w:color w:val="000000"/>
        </w:rPr>
      </w:pPr>
      <w:r>
        <w:rPr>
          <w:rFonts w:cstheme="minorHAnsi"/>
          <w:b/>
          <w:color w:val="215868" w:themeColor="accent5" w:themeShade="80"/>
        </w:rPr>
        <w:t>OBJECTIVE:</w:t>
      </w:r>
    </w:p>
    <w:p w:rsidR="00043EEF" w:rsidRDefault="00043EEF" w:rsidP="00A230C9">
      <w:pPr>
        <w:pStyle w:val="Default"/>
        <w:jc w:val="both"/>
        <w:rPr>
          <w:rFonts w:asciiTheme="minorHAnsi" w:hAnsiTheme="minorHAnsi" w:cstheme="minorHAnsi"/>
          <w:sz w:val="22"/>
          <w:szCs w:val="22"/>
        </w:rPr>
      </w:pPr>
    </w:p>
    <w:p w:rsidR="0053615C" w:rsidRDefault="00B905C2" w:rsidP="00A230C9">
      <w:pPr>
        <w:pStyle w:val="Default"/>
        <w:jc w:val="both"/>
        <w:rPr>
          <w:sz w:val="22"/>
          <w:szCs w:val="22"/>
        </w:rPr>
      </w:pPr>
      <w:r>
        <w:rPr>
          <w:sz w:val="22"/>
          <w:szCs w:val="22"/>
        </w:rPr>
        <w:t xml:space="preserve">The Company framed a Remuneration </w:t>
      </w:r>
      <w:r w:rsidR="00B54CD6">
        <w:rPr>
          <w:sz w:val="22"/>
          <w:szCs w:val="22"/>
        </w:rPr>
        <w:t xml:space="preserve">Policy </w:t>
      </w:r>
      <w:r>
        <w:rPr>
          <w:sz w:val="22"/>
          <w:szCs w:val="22"/>
        </w:rPr>
        <w:t xml:space="preserve">with the object </w:t>
      </w:r>
      <w:r w:rsidR="00B54CD6">
        <w:rPr>
          <w:sz w:val="22"/>
          <w:szCs w:val="22"/>
        </w:rPr>
        <w:t>to attract, retain and motivate the Members of the Board of Directors, Senior Managers and other employees who are at one level below the Key Managerial Personnel or Functional Heads of the Company, by remunerating them reasonably and sufficiently so as to run the operations of the Company successfully. The Policy reflects the Company's objectives for good corporate governance as well as sustained long-term value creation for shareholders</w:t>
      </w:r>
      <w:r>
        <w:rPr>
          <w:sz w:val="22"/>
          <w:szCs w:val="22"/>
        </w:rPr>
        <w:t>.</w:t>
      </w:r>
    </w:p>
    <w:p w:rsidR="00B905C2" w:rsidRDefault="00B905C2" w:rsidP="00A230C9">
      <w:pPr>
        <w:pStyle w:val="Default"/>
        <w:jc w:val="both"/>
        <w:rPr>
          <w:sz w:val="22"/>
          <w:szCs w:val="22"/>
        </w:rPr>
      </w:pPr>
    </w:p>
    <w:p w:rsidR="00557FE4" w:rsidRDefault="00557FE4" w:rsidP="00B216C1">
      <w:pPr>
        <w:autoSpaceDE w:val="0"/>
        <w:autoSpaceDN w:val="0"/>
        <w:adjustRightInd w:val="0"/>
        <w:spacing w:after="0" w:line="240" w:lineRule="auto"/>
        <w:rPr>
          <w:rFonts w:cstheme="minorHAnsi"/>
          <w:b/>
          <w:color w:val="215868" w:themeColor="accent5" w:themeShade="80"/>
        </w:rPr>
      </w:pPr>
    </w:p>
    <w:p w:rsidR="00557FE4" w:rsidRDefault="00557FE4" w:rsidP="00B216C1">
      <w:pPr>
        <w:autoSpaceDE w:val="0"/>
        <w:autoSpaceDN w:val="0"/>
        <w:adjustRightInd w:val="0"/>
        <w:spacing w:after="0" w:line="240" w:lineRule="auto"/>
        <w:rPr>
          <w:rFonts w:cstheme="minorHAnsi"/>
          <w:b/>
          <w:color w:val="215868" w:themeColor="accent5" w:themeShade="80"/>
        </w:rPr>
      </w:pPr>
      <w:r>
        <w:rPr>
          <w:rFonts w:cstheme="minorHAnsi"/>
          <w:b/>
          <w:color w:val="215868" w:themeColor="accent5" w:themeShade="80"/>
        </w:rPr>
        <w:t>GUINDING PRINCIPLES:</w:t>
      </w:r>
    </w:p>
    <w:p w:rsidR="00F803C7" w:rsidRPr="004F0CDD" w:rsidRDefault="00F803C7" w:rsidP="004F0CDD">
      <w:pPr>
        <w:pStyle w:val="Default"/>
        <w:jc w:val="both"/>
        <w:rPr>
          <w:sz w:val="22"/>
          <w:szCs w:val="22"/>
        </w:rPr>
      </w:pPr>
    </w:p>
    <w:p w:rsidR="00F803C7" w:rsidRDefault="00F803C7" w:rsidP="004F0CDD">
      <w:pPr>
        <w:pStyle w:val="Default"/>
        <w:jc w:val="both"/>
        <w:rPr>
          <w:sz w:val="22"/>
          <w:szCs w:val="22"/>
        </w:rPr>
      </w:pPr>
      <w:r>
        <w:rPr>
          <w:sz w:val="22"/>
          <w:szCs w:val="22"/>
        </w:rPr>
        <w:t>The guiding principle of this Policy is to ensure that the Company is in a position to attract, retain and motivate right kind of human resource(s) for achieving the desired growth set by the Company’s management year on year thereby creating long-term value for all stakeholders of the Company</w:t>
      </w:r>
      <w:r w:rsidR="00F135CD">
        <w:rPr>
          <w:sz w:val="22"/>
          <w:szCs w:val="22"/>
        </w:rPr>
        <w:t>.</w:t>
      </w:r>
    </w:p>
    <w:p w:rsidR="00F135CD" w:rsidRDefault="00F135CD" w:rsidP="004F0CDD">
      <w:pPr>
        <w:pStyle w:val="Default"/>
        <w:jc w:val="both"/>
        <w:rPr>
          <w:sz w:val="22"/>
          <w:szCs w:val="22"/>
        </w:rPr>
      </w:pPr>
    </w:p>
    <w:p w:rsidR="00F803C7" w:rsidRDefault="00284A8E" w:rsidP="001A6422">
      <w:pPr>
        <w:autoSpaceDE w:val="0"/>
        <w:autoSpaceDN w:val="0"/>
        <w:adjustRightInd w:val="0"/>
        <w:spacing w:after="0" w:line="240" w:lineRule="auto"/>
        <w:jc w:val="both"/>
      </w:pPr>
      <w:r>
        <w:t xml:space="preserve">The </w:t>
      </w:r>
      <w:r w:rsidR="00485AB3">
        <w:t>remuneration package</w:t>
      </w:r>
      <w:r>
        <w:t xml:space="preserve"> is fixed based on the </w:t>
      </w:r>
      <w:r w:rsidR="00485AB3">
        <w:t>requisite competencies, qualifications, industry experience, efforts required and the scope of the work.</w:t>
      </w:r>
    </w:p>
    <w:p w:rsidR="00284A8E" w:rsidRDefault="00284A8E" w:rsidP="001A6422">
      <w:pPr>
        <w:autoSpaceDE w:val="0"/>
        <w:autoSpaceDN w:val="0"/>
        <w:adjustRightInd w:val="0"/>
        <w:spacing w:after="0" w:line="240" w:lineRule="auto"/>
        <w:jc w:val="both"/>
        <w:rPr>
          <w:rFonts w:cstheme="minorHAnsi"/>
          <w:b/>
          <w:color w:val="215868" w:themeColor="accent5" w:themeShade="80"/>
        </w:rPr>
      </w:pPr>
    </w:p>
    <w:p w:rsidR="00557FE4" w:rsidRDefault="00DC3823" w:rsidP="00B216C1">
      <w:pPr>
        <w:autoSpaceDE w:val="0"/>
        <w:autoSpaceDN w:val="0"/>
        <w:adjustRightInd w:val="0"/>
        <w:spacing w:after="0" w:line="240" w:lineRule="auto"/>
        <w:rPr>
          <w:rFonts w:cstheme="minorHAnsi"/>
          <w:b/>
          <w:color w:val="215868" w:themeColor="accent5" w:themeShade="80"/>
        </w:rPr>
      </w:pPr>
      <w:r>
        <w:rPr>
          <w:rFonts w:cstheme="minorHAnsi"/>
          <w:b/>
          <w:color w:val="215868" w:themeColor="accent5" w:themeShade="80"/>
        </w:rPr>
        <w:t xml:space="preserve">OVERALL </w:t>
      </w:r>
      <w:r w:rsidR="005473DC">
        <w:rPr>
          <w:rFonts w:cstheme="minorHAnsi"/>
          <w:b/>
          <w:color w:val="215868" w:themeColor="accent5" w:themeShade="80"/>
        </w:rPr>
        <w:t>REMUNERATION OF</w:t>
      </w:r>
      <w:r>
        <w:rPr>
          <w:rFonts w:cstheme="minorHAnsi"/>
          <w:b/>
          <w:color w:val="215868" w:themeColor="accent5" w:themeShade="80"/>
        </w:rPr>
        <w:t xml:space="preserve"> EXECUTIVE DIRECTORS:</w:t>
      </w:r>
    </w:p>
    <w:p w:rsidR="007753FD" w:rsidRDefault="007753FD" w:rsidP="00B216C1">
      <w:pPr>
        <w:autoSpaceDE w:val="0"/>
        <w:autoSpaceDN w:val="0"/>
        <w:adjustRightInd w:val="0"/>
        <w:spacing w:after="0" w:line="240" w:lineRule="auto"/>
        <w:rPr>
          <w:rFonts w:cstheme="minorHAnsi"/>
          <w:b/>
          <w:color w:val="215868" w:themeColor="accent5" w:themeShade="80"/>
        </w:rPr>
      </w:pPr>
    </w:p>
    <w:p w:rsidR="007753FD" w:rsidRPr="005473DC" w:rsidRDefault="005473DC" w:rsidP="005473DC">
      <w:pPr>
        <w:pStyle w:val="Default"/>
        <w:jc w:val="both"/>
        <w:rPr>
          <w:sz w:val="22"/>
          <w:szCs w:val="22"/>
        </w:rPr>
      </w:pPr>
      <w:r>
        <w:rPr>
          <w:sz w:val="22"/>
          <w:szCs w:val="22"/>
        </w:rPr>
        <w:t>T</w:t>
      </w:r>
      <w:r w:rsidR="007753FD">
        <w:rPr>
          <w:sz w:val="22"/>
          <w:szCs w:val="22"/>
        </w:rPr>
        <w:t>he overall remuneration of executive member(s) on the Board, where there are more than one, shall not exceed 10% of the net profit calculated in the manner provided under the Companies Act, 2013 and Rules framed thereunder, and shall not exceed 5% in case there is only one executive member on the Board. In the event of loss or inadequacy of profit in any financial year during the currency of tenure of services of an executive member of the Board, the payment of remuneration shall be governed by the applicable limits prescribed under the Companies Act, 2013 and Rules framed thereunder, as amended from time to time</w:t>
      </w:r>
    </w:p>
    <w:p w:rsidR="007753FD" w:rsidRPr="005473DC" w:rsidRDefault="007753FD" w:rsidP="005473DC">
      <w:pPr>
        <w:pStyle w:val="Default"/>
        <w:jc w:val="both"/>
        <w:rPr>
          <w:sz w:val="22"/>
          <w:szCs w:val="22"/>
        </w:rPr>
      </w:pPr>
    </w:p>
    <w:p w:rsidR="007753FD" w:rsidRDefault="003500E3" w:rsidP="00CA48C4">
      <w:pPr>
        <w:autoSpaceDE w:val="0"/>
        <w:autoSpaceDN w:val="0"/>
        <w:adjustRightInd w:val="0"/>
        <w:spacing w:after="0" w:line="240" w:lineRule="auto"/>
        <w:jc w:val="both"/>
      </w:pPr>
      <w:r>
        <w:t xml:space="preserve">Executive Members of the Board including the Managing Director, if any, shall be employed under service contracts for a period not exceeding 3 (three) years at a time, on the terms &amp; other </w:t>
      </w:r>
      <w:r w:rsidR="00CA48C4">
        <w:t>c</w:t>
      </w:r>
      <w:r>
        <w:t>onditions and remuneration as recommended by the Nomination and Remuneration Committee and approved by the Members of the Company at the General Meeting(s). Executive members of the Board shall not be eligible to receive any sitting fees for attending any meeting of the Board of Directors or Committee thereof.</w:t>
      </w:r>
    </w:p>
    <w:p w:rsidR="003500E3" w:rsidRDefault="003500E3" w:rsidP="00B216C1">
      <w:pPr>
        <w:autoSpaceDE w:val="0"/>
        <w:autoSpaceDN w:val="0"/>
        <w:adjustRightInd w:val="0"/>
        <w:spacing w:after="0" w:line="240" w:lineRule="auto"/>
      </w:pPr>
    </w:p>
    <w:p w:rsidR="003500E3" w:rsidRDefault="003500E3" w:rsidP="00B216C1">
      <w:pPr>
        <w:autoSpaceDE w:val="0"/>
        <w:autoSpaceDN w:val="0"/>
        <w:adjustRightInd w:val="0"/>
        <w:spacing w:after="0" w:line="240" w:lineRule="auto"/>
        <w:rPr>
          <w:rFonts w:cstheme="minorHAnsi"/>
          <w:b/>
          <w:color w:val="215868" w:themeColor="accent5" w:themeShade="80"/>
        </w:rPr>
      </w:pPr>
    </w:p>
    <w:p w:rsidR="00BC0FDC" w:rsidRPr="00BC0FDC" w:rsidRDefault="005D7962" w:rsidP="005D7962">
      <w:pPr>
        <w:autoSpaceDE w:val="0"/>
        <w:autoSpaceDN w:val="0"/>
        <w:adjustRightInd w:val="0"/>
        <w:spacing w:after="0" w:line="240" w:lineRule="auto"/>
        <w:rPr>
          <w:rFonts w:cstheme="minorHAnsi"/>
          <w:b/>
          <w:color w:val="215868" w:themeColor="accent5" w:themeShade="80"/>
        </w:rPr>
      </w:pPr>
      <w:r w:rsidRPr="005D7962">
        <w:rPr>
          <w:rFonts w:cstheme="minorHAnsi"/>
          <w:b/>
          <w:color w:val="215868" w:themeColor="accent5" w:themeShade="80"/>
        </w:rPr>
        <w:t xml:space="preserve">REMUNERATION OF NON-EXECUTIVE MEMBERS OF THE BOARD: </w:t>
      </w:r>
    </w:p>
    <w:p w:rsidR="00D04FD6" w:rsidRDefault="00D04FD6" w:rsidP="00EA1397">
      <w:pPr>
        <w:autoSpaceDE w:val="0"/>
        <w:autoSpaceDN w:val="0"/>
        <w:adjustRightInd w:val="0"/>
        <w:spacing w:after="0" w:line="240" w:lineRule="auto"/>
        <w:jc w:val="both"/>
      </w:pPr>
    </w:p>
    <w:p w:rsidR="000B7998" w:rsidRPr="00EA1397" w:rsidRDefault="00BC0FDC" w:rsidP="00EA1397">
      <w:pPr>
        <w:autoSpaceDE w:val="0"/>
        <w:autoSpaceDN w:val="0"/>
        <w:adjustRightInd w:val="0"/>
        <w:spacing w:after="0" w:line="240" w:lineRule="auto"/>
        <w:jc w:val="both"/>
      </w:pPr>
      <w:r w:rsidRPr="00EA1397">
        <w:t xml:space="preserve">The remuneration payable to the Non-Executive member(s) of the Board shall be limited to a fixed amount of Commission each year, as may be determined and approved by the Board based on the time devoted, contribution made in the progress and guiding the Company for future growth. Aggregate of such sum shall not exceed 1% of net profit of the year on a stand-alone basis or such sum as may be prescribed by the Government from time to time, calculated in accordance with the provisions of the Companies Act, 2013 and relevant rules framed thereunder. Such remuneration </w:t>
      </w:r>
      <w:r w:rsidRPr="00EA1397">
        <w:lastRenderedPageBreak/>
        <w:t>shall in the form of commission payable to Non-Executive members of the Board and shall be in addition to the sitting fees payable to them for attending the meetings of the Board and / or Committees thereof and reimbursement of expenses for participation in the Board and other meetings. Independent Director(s) of the Company shall not be entitled to any stock option issued or proposed to be issued by the Company. The performance of the non-executive members of the Board shall be reviewed by the Board on an annual basis</w:t>
      </w:r>
    </w:p>
    <w:p w:rsidR="00901D7F" w:rsidRPr="00EA1397" w:rsidRDefault="00901D7F" w:rsidP="00EA1397">
      <w:pPr>
        <w:autoSpaceDE w:val="0"/>
        <w:autoSpaceDN w:val="0"/>
        <w:adjustRightInd w:val="0"/>
        <w:spacing w:after="0" w:line="240" w:lineRule="auto"/>
        <w:jc w:val="both"/>
      </w:pPr>
    </w:p>
    <w:p w:rsidR="003001FB" w:rsidRPr="00343191" w:rsidRDefault="00FF4DA6" w:rsidP="00343191">
      <w:pPr>
        <w:spacing w:after="0" w:line="360" w:lineRule="auto"/>
        <w:jc w:val="both"/>
      </w:pPr>
      <w:r w:rsidRPr="00343191">
        <w:t xml:space="preserve">Non-executive Directors (Independent and non-independent) </w:t>
      </w:r>
      <w:r w:rsidR="003001FB" w:rsidRPr="00343191">
        <w:t>shall be paid a sitting fee as may be determined by the management for every meeting of the board or committee thereof attended by them as member.</w:t>
      </w:r>
    </w:p>
    <w:p w:rsidR="00901D7F" w:rsidRDefault="00901D7F" w:rsidP="00343191">
      <w:pPr>
        <w:autoSpaceDE w:val="0"/>
        <w:autoSpaceDN w:val="0"/>
        <w:adjustRightInd w:val="0"/>
        <w:spacing w:after="0" w:line="240" w:lineRule="auto"/>
        <w:jc w:val="both"/>
      </w:pPr>
    </w:p>
    <w:p w:rsidR="003001FB" w:rsidRDefault="003001FB" w:rsidP="00EA1397">
      <w:pPr>
        <w:autoSpaceDE w:val="0"/>
        <w:autoSpaceDN w:val="0"/>
        <w:adjustRightInd w:val="0"/>
        <w:spacing w:after="0" w:line="240" w:lineRule="auto"/>
        <w:jc w:val="both"/>
      </w:pPr>
    </w:p>
    <w:p w:rsidR="00D04FD6" w:rsidRPr="00B07627" w:rsidRDefault="00B07627" w:rsidP="00B07627">
      <w:pPr>
        <w:autoSpaceDE w:val="0"/>
        <w:autoSpaceDN w:val="0"/>
        <w:adjustRightInd w:val="0"/>
        <w:spacing w:after="0" w:line="240" w:lineRule="auto"/>
        <w:jc w:val="both"/>
        <w:rPr>
          <w:rFonts w:cstheme="minorHAnsi"/>
          <w:b/>
          <w:color w:val="215868" w:themeColor="accent5" w:themeShade="80"/>
        </w:rPr>
      </w:pPr>
      <w:bookmarkStart w:id="0" w:name="_GoBack"/>
      <w:r w:rsidRPr="00B07627">
        <w:rPr>
          <w:rFonts w:cstheme="minorHAnsi"/>
          <w:b/>
          <w:color w:val="215868" w:themeColor="accent5" w:themeShade="80"/>
        </w:rPr>
        <w:t>REMUNERATION OF EXECUTIVE MANAGEMENT COMPRISING OF SENIOR MANAGEMENT &amp; KEY MANAGERIAL PERSONNEL</w:t>
      </w:r>
    </w:p>
    <w:bookmarkEnd w:id="0"/>
    <w:p w:rsidR="00E624A4" w:rsidRDefault="00E624A4" w:rsidP="00EA1397">
      <w:pPr>
        <w:autoSpaceDE w:val="0"/>
        <w:autoSpaceDN w:val="0"/>
        <w:adjustRightInd w:val="0"/>
        <w:spacing w:after="0" w:line="240" w:lineRule="auto"/>
        <w:jc w:val="both"/>
        <w:rPr>
          <w:b/>
          <w:bCs/>
        </w:rPr>
      </w:pPr>
    </w:p>
    <w:p w:rsidR="00D04FD6" w:rsidRDefault="00E624A4" w:rsidP="00EA1397">
      <w:pPr>
        <w:autoSpaceDE w:val="0"/>
        <w:autoSpaceDN w:val="0"/>
        <w:adjustRightInd w:val="0"/>
        <w:spacing w:after="0" w:line="240" w:lineRule="auto"/>
        <w:jc w:val="both"/>
      </w:pPr>
      <w:r>
        <w:t xml:space="preserve">The Nomination &amp; Remuneration Committee will from time to time consider proposals concerning the appointment and remuneration of the Key Managerial Personnel. Such proposals then shall be submitted to the Board for approval. </w:t>
      </w:r>
    </w:p>
    <w:p w:rsidR="00E70F8B" w:rsidRDefault="00E70F8B" w:rsidP="00EA1397">
      <w:pPr>
        <w:autoSpaceDE w:val="0"/>
        <w:autoSpaceDN w:val="0"/>
        <w:adjustRightInd w:val="0"/>
        <w:spacing w:after="0" w:line="240" w:lineRule="auto"/>
        <w:jc w:val="both"/>
      </w:pPr>
    </w:p>
    <w:p w:rsidR="00E70F8B" w:rsidRDefault="00E70F8B" w:rsidP="00EA1397">
      <w:pPr>
        <w:autoSpaceDE w:val="0"/>
        <w:autoSpaceDN w:val="0"/>
        <w:adjustRightInd w:val="0"/>
        <w:spacing w:after="0" w:line="240" w:lineRule="auto"/>
        <w:jc w:val="both"/>
      </w:pPr>
      <w:r>
        <w:t>Executive Management shall not be eligible to receive any remuneration, including sitting fees.</w:t>
      </w:r>
    </w:p>
    <w:p w:rsidR="00D04FD6" w:rsidRDefault="00D04FD6" w:rsidP="00EA1397">
      <w:pPr>
        <w:autoSpaceDE w:val="0"/>
        <w:autoSpaceDN w:val="0"/>
        <w:adjustRightInd w:val="0"/>
        <w:spacing w:after="0" w:line="240" w:lineRule="auto"/>
        <w:jc w:val="both"/>
      </w:pPr>
    </w:p>
    <w:p w:rsidR="003001FB" w:rsidRDefault="003001FB" w:rsidP="00EA1397">
      <w:pPr>
        <w:autoSpaceDE w:val="0"/>
        <w:autoSpaceDN w:val="0"/>
        <w:adjustRightInd w:val="0"/>
        <w:spacing w:after="0" w:line="240" w:lineRule="auto"/>
        <w:jc w:val="both"/>
      </w:pPr>
    </w:p>
    <w:p w:rsidR="00253046" w:rsidRPr="00253046" w:rsidRDefault="00253046" w:rsidP="00253046">
      <w:pPr>
        <w:pStyle w:val="Default"/>
        <w:jc w:val="center"/>
        <w:rPr>
          <w:rFonts w:asciiTheme="minorHAnsi" w:hAnsiTheme="minorHAnsi" w:cstheme="minorHAnsi"/>
          <w:sz w:val="22"/>
          <w:szCs w:val="22"/>
        </w:rPr>
      </w:pPr>
      <w:r w:rsidRPr="00253046">
        <w:rPr>
          <w:rFonts w:asciiTheme="minorHAnsi" w:hAnsiTheme="minorHAnsi" w:cstheme="minorHAnsi"/>
          <w:sz w:val="22"/>
          <w:szCs w:val="22"/>
        </w:rPr>
        <w:t>**********************</w:t>
      </w:r>
    </w:p>
    <w:p w:rsidR="0067549F" w:rsidRPr="00253046" w:rsidRDefault="0067549F" w:rsidP="0067549F">
      <w:pPr>
        <w:spacing w:line="360" w:lineRule="auto"/>
        <w:jc w:val="both"/>
        <w:rPr>
          <w:rFonts w:cstheme="minorHAnsi"/>
        </w:rPr>
      </w:pPr>
    </w:p>
    <w:p w:rsidR="006E6318" w:rsidRDefault="006E6318" w:rsidP="00A230C9">
      <w:pPr>
        <w:pStyle w:val="Default"/>
        <w:jc w:val="both"/>
        <w:rPr>
          <w:rFonts w:asciiTheme="minorHAnsi" w:hAnsiTheme="minorHAnsi" w:cstheme="minorHAnsi"/>
          <w:sz w:val="22"/>
          <w:szCs w:val="22"/>
        </w:rPr>
      </w:pPr>
    </w:p>
    <w:sectPr w:rsidR="006E631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227" w:rsidRDefault="00DD6227" w:rsidP="00DD6227">
      <w:pPr>
        <w:spacing w:after="0" w:line="240" w:lineRule="auto"/>
      </w:pPr>
      <w:r>
        <w:separator/>
      </w:r>
    </w:p>
  </w:endnote>
  <w:endnote w:type="continuationSeparator" w:id="0">
    <w:p w:rsidR="00DD6227" w:rsidRDefault="00DD6227" w:rsidP="00DD6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227" w:rsidRDefault="00DD6227" w:rsidP="00DD6227">
      <w:pPr>
        <w:spacing w:after="0" w:line="240" w:lineRule="auto"/>
      </w:pPr>
      <w:r>
        <w:separator/>
      </w:r>
    </w:p>
  </w:footnote>
  <w:footnote w:type="continuationSeparator" w:id="0">
    <w:p w:rsidR="00DD6227" w:rsidRDefault="00DD6227" w:rsidP="00DD62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227" w:rsidRDefault="00DD6227" w:rsidP="002C3AF5">
    <w:proofErr w:type="spellStart"/>
    <w:r>
      <w:rPr>
        <w:rFonts w:asciiTheme="majorHAnsi" w:eastAsiaTheme="majorEastAsia" w:hAnsiTheme="majorHAnsi" w:cstheme="majorBidi"/>
      </w:rPr>
      <w:t>Kanishk</w:t>
    </w:r>
    <w:proofErr w:type="spellEnd"/>
    <w:r>
      <w:rPr>
        <w:rFonts w:asciiTheme="majorHAnsi" w:eastAsiaTheme="majorEastAsia" w:hAnsiTheme="majorHAnsi" w:cstheme="majorBidi"/>
      </w:rPr>
      <w:t xml:space="preserve"> Steel Industries Limited                                                                 </w:t>
    </w:r>
    <w:r w:rsidR="002C3AF5">
      <w:rPr>
        <w:rFonts w:asciiTheme="majorHAnsi" w:eastAsiaTheme="majorEastAsia" w:hAnsiTheme="majorHAnsi" w:cstheme="majorBidi"/>
      </w:rPr>
      <w:t xml:space="preserve">Remuneration Policy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85A5E"/>
    <w:multiLevelType w:val="hybridMultilevel"/>
    <w:tmpl w:val="3F2244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8FD5242"/>
    <w:multiLevelType w:val="multilevel"/>
    <w:tmpl w:val="40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
    <w:nsid w:val="1F814DE8"/>
    <w:multiLevelType w:val="hybridMultilevel"/>
    <w:tmpl w:val="C1CC6708"/>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77111"/>
    <w:multiLevelType w:val="hybridMultilevel"/>
    <w:tmpl w:val="D8083AB0"/>
    <w:lvl w:ilvl="0" w:tplc="04090019">
      <w:start w:val="1"/>
      <w:numFmt w:val="lowerLetter"/>
      <w:lvlText w:val="%1."/>
      <w:lvlJc w:val="left"/>
      <w:pPr>
        <w:ind w:left="990" w:hanging="360"/>
      </w:pPr>
      <w:rPr>
        <w:rFonts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4B9301C7"/>
    <w:multiLevelType w:val="hybridMultilevel"/>
    <w:tmpl w:val="E1E215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715C349C"/>
    <w:multiLevelType w:val="hybridMultilevel"/>
    <w:tmpl w:val="094ACD1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7B5E1870"/>
    <w:multiLevelType w:val="hybridMultilevel"/>
    <w:tmpl w:val="8E6EB1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20F"/>
    <w:rsid w:val="0000020F"/>
    <w:rsid w:val="00043EEF"/>
    <w:rsid w:val="00084F97"/>
    <w:rsid w:val="000B7998"/>
    <w:rsid w:val="000F0983"/>
    <w:rsid w:val="000F3ACB"/>
    <w:rsid w:val="0017527A"/>
    <w:rsid w:val="00190DFB"/>
    <w:rsid w:val="001A6422"/>
    <w:rsid w:val="001B622D"/>
    <w:rsid w:val="00232960"/>
    <w:rsid w:val="00253046"/>
    <w:rsid w:val="002710CD"/>
    <w:rsid w:val="00284A8E"/>
    <w:rsid w:val="00295023"/>
    <w:rsid w:val="002B0F6E"/>
    <w:rsid w:val="002C3AF5"/>
    <w:rsid w:val="002F63CC"/>
    <w:rsid w:val="003001FB"/>
    <w:rsid w:val="003251F2"/>
    <w:rsid w:val="00343191"/>
    <w:rsid w:val="003500E3"/>
    <w:rsid w:val="0038119E"/>
    <w:rsid w:val="00446B08"/>
    <w:rsid w:val="0046132E"/>
    <w:rsid w:val="00485AB3"/>
    <w:rsid w:val="004E1D70"/>
    <w:rsid w:val="004F0CDD"/>
    <w:rsid w:val="004F43C8"/>
    <w:rsid w:val="0053615C"/>
    <w:rsid w:val="005473DC"/>
    <w:rsid w:val="00557FE4"/>
    <w:rsid w:val="005A1BFB"/>
    <w:rsid w:val="005D3093"/>
    <w:rsid w:val="005D7962"/>
    <w:rsid w:val="006030F8"/>
    <w:rsid w:val="0067549F"/>
    <w:rsid w:val="00693607"/>
    <w:rsid w:val="006B5595"/>
    <w:rsid w:val="006E6318"/>
    <w:rsid w:val="007269A2"/>
    <w:rsid w:val="007753FD"/>
    <w:rsid w:val="00775732"/>
    <w:rsid w:val="007814CE"/>
    <w:rsid w:val="007A4AC1"/>
    <w:rsid w:val="007A7221"/>
    <w:rsid w:val="00826A16"/>
    <w:rsid w:val="00861E4B"/>
    <w:rsid w:val="008B33DF"/>
    <w:rsid w:val="008E2CC0"/>
    <w:rsid w:val="00901D7F"/>
    <w:rsid w:val="00926670"/>
    <w:rsid w:val="00934988"/>
    <w:rsid w:val="009470FF"/>
    <w:rsid w:val="0095286B"/>
    <w:rsid w:val="009A11CF"/>
    <w:rsid w:val="009D6C07"/>
    <w:rsid w:val="009E2AB6"/>
    <w:rsid w:val="00A0013C"/>
    <w:rsid w:val="00A012CB"/>
    <w:rsid w:val="00A230C9"/>
    <w:rsid w:val="00A72603"/>
    <w:rsid w:val="00AC4B82"/>
    <w:rsid w:val="00AC6118"/>
    <w:rsid w:val="00AC628B"/>
    <w:rsid w:val="00B07627"/>
    <w:rsid w:val="00B216C1"/>
    <w:rsid w:val="00B54CD6"/>
    <w:rsid w:val="00B905C2"/>
    <w:rsid w:val="00BB7601"/>
    <w:rsid w:val="00BC0FDC"/>
    <w:rsid w:val="00BE3C31"/>
    <w:rsid w:val="00BF7157"/>
    <w:rsid w:val="00C02A0D"/>
    <w:rsid w:val="00CA48C4"/>
    <w:rsid w:val="00CA569B"/>
    <w:rsid w:val="00D04FD6"/>
    <w:rsid w:val="00D205E1"/>
    <w:rsid w:val="00D22424"/>
    <w:rsid w:val="00D43B13"/>
    <w:rsid w:val="00D45208"/>
    <w:rsid w:val="00DA7978"/>
    <w:rsid w:val="00DC3823"/>
    <w:rsid w:val="00DD6227"/>
    <w:rsid w:val="00E10156"/>
    <w:rsid w:val="00E11ED1"/>
    <w:rsid w:val="00E1292D"/>
    <w:rsid w:val="00E30C2D"/>
    <w:rsid w:val="00E624A4"/>
    <w:rsid w:val="00E70F8B"/>
    <w:rsid w:val="00EA1397"/>
    <w:rsid w:val="00EA5510"/>
    <w:rsid w:val="00EB392F"/>
    <w:rsid w:val="00ED3B60"/>
    <w:rsid w:val="00F135CD"/>
    <w:rsid w:val="00F803C7"/>
    <w:rsid w:val="00F90297"/>
    <w:rsid w:val="00FE3EAF"/>
    <w:rsid w:val="00FF243D"/>
    <w:rsid w:val="00FF4D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527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527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527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7527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7527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7527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7527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527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527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622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D6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227"/>
  </w:style>
  <w:style w:type="paragraph" w:styleId="Footer">
    <w:name w:val="footer"/>
    <w:basedOn w:val="Normal"/>
    <w:link w:val="FooterChar"/>
    <w:uiPriority w:val="99"/>
    <w:unhideWhenUsed/>
    <w:rsid w:val="00DD6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227"/>
  </w:style>
  <w:style w:type="table" w:styleId="TableGrid">
    <w:name w:val="Table Grid"/>
    <w:basedOn w:val="TableNormal"/>
    <w:uiPriority w:val="59"/>
    <w:rsid w:val="002F6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F63CC"/>
    <w:pPr>
      <w:spacing w:before="100" w:beforeAutospacing="1" w:after="115"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1752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7527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7527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7527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7527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7527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7527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7527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7527A"/>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E11E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527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527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527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7527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7527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7527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7527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527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527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622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D6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227"/>
  </w:style>
  <w:style w:type="paragraph" w:styleId="Footer">
    <w:name w:val="footer"/>
    <w:basedOn w:val="Normal"/>
    <w:link w:val="FooterChar"/>
    <w:uiPriority w:val="99"/>
    <w:unhideWhenUsed/>
    <w:rsid w:val="00DD6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227"/>
  </w:style>
  <w:style w:type="table" w:styleId="TableGrid">
    <w:name w:val="Table Grid"/>
    <w:basedOn w:val="TableNormal"/>
    <w:uiPriority w:val="59"/>
    <w:rsid w:val="002F6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F63CC"/>
    <w:pPr>
      <w:spacing w:before="100" w:beforeAutospacing="1" w:after="115"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1752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7527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7527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7527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7527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7527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7527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7527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7527A"/>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E11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madhavan</dc:creator>
  <cp:keywords/>
  <dc:description/>
  <cp:lastModifiedBy>madhavan</cp:lastModifiedBy>
  <cp:revision>99</cp:revision>
  <dcterms:created xsi:type="dcterms:W3CDTF">2017-08-31T06:01:00Z</dcterms:created>
  <dcterms:modified xsi:type="dcterms:W3CDTF">2017-09-02T08:15:00Z</dcterms:modified>
</cp:coreProperties>
</file>